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both"/>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rPr>
          <w:rFonts w:eastAsiaTheme="minorEastAsia"/>
          <w:kern w:val="0"/>
          <w:sz w:val="30"/>
          <w:szCs w:val="30"/>
        </w:rPr>
      </w:pPr>
    </w:p>
    <w:p>
      <w:pPr>
        <w:pStyle w:val="48"/>
        <w:spacing w:line="540" w:lineRule="exact"/>
        <w:rPr>
          <w:rFonts w:eastAsiaTheme="minorEastAsia"/>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2018年基层组织建设补助资金项目</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实施单位（公章）：中共塔什库尔干塔吉克自治县委员会组织部</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主管部门（公章）：中共塔什库尔干塔吉克自治县委员会</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项目负责人（签章）：刘鹏</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31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hint="eastAsia" w:ascii="黑体" w:hAnsi="黑体" w:eastAsia="黑体"/>
          <w:b w:val="0"/>
          <w:spacing w:val="-4"/>
          <w:sz w:val="32"/>
          <w:szCs w:val="32"/>
        </w:rPr>
      </w:pP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spacing w:val="-4"/>
          <w:sz w:val="32"/>
          <w:szCs w:val="32"/>
        </w:rPr>
      </w:pPr>
      <w:r>
        <w:rPr>
          <w:rFonts w:hint="eastAsia" w:ascii="仿宋" w:hAnsi="仿宋" w:eastAsia="仿宋" w:cs="Arial"/>
          <w:sz w:val="32"/>
          <w:szCs w:val="32"/>
        </w:rPr>
        <w:t>我部编制人数26人，其中：行政人员编制9人，参照公务员管理的事业单位人员编制10人，全额拨款事业单位人员编制6人，包括</w:t>
      </w:r>
      <w:r>
        <w:rPr>
          <w:rFonts w:hint="eastAsia" w:ascii="仿宋" w:hAnsi="仿宋" w:eastAsia="仿宋"/>
          <w:sz w:val="32"/>
          <w:szCs w:val="32"/>
        </w:rPr>
        <w:t>办公室、人才援疆办、干部科、基层办、干训科、干监科、组织科等部门。</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 w:hAnsi="仿宋" w:eastAsia="仿宋" w:cs="Arial"/>
          <w:sz w:val="32"/>
          <w:szCs w:val="32"/>
        </w:rPr>
      </w:pPr>
      <w:bookmarkStart w:id="0" w:name="_Toc405279309"/>
      <w:r>
        <w:rPr>
          <w:rFonts w:hint="eastAsia" w:ascii="仿宋" w:hAnsi="仿宋" w:eastAsia="仿宋" w:cs="Arial"/>
          <w:sz w:val="32"/>
          <w:szCs w:val="32"/>
        </w:rPr>
        <w:t>为不断激发基层干部干事创业、服务群众的热情，健全基层组织服务保障功能，充分调动群众参与各项事务、活动的积极性、主动性，筑牢塔什库尔干县社会基层基础，2018年基层组织建设各类补助经费总额2016.63万元。其中自治区财政专项补助1326.29万元（其中，乡镇干部基层补贴经费247万元，乡镇机关、社区干部绩效考核奖励经费57.96万元，村干部报酬资金194.41万元，“三老”人员补助经费205.42万元，“三支”队伍补助经费118万元，村干部及“十户长”工奖励经费61万元，村级组织薄弱村经费382.5万元，乡镇、街道综合治理及宗教工作经费60万元；县财政补助资金690.34万元（其中，乡镇干部基层补贴经费117.46万元，乡镇机关、社区干部绩效考核奖励经费7.94万元，村（社区）干部报酬274.22万元，村级组织薄弱村经费292.5万元）。</w:t>
      </w:r>
    </w:p>
    <w:bookmarkEnd w:id="0"/>
    <w:p>
      <w:pPr>
        <w:tabs>
          <w:tab w:val="left" w:pos="6882"/>
        </w:tabs>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r>
        <w:rPr>
          <w:rFonts w:ascii="仿宋" w:hAnsi="仿宋" w:eastAsia="仿宋"/>
          <w:b/>
          <w:bCs/>
          <w:spacing w:val="-4"/>
          <w:sz w:val="32"/>
          <w:szCs w:val="32"/>
        </w:rPr>
        <w:tab/>
      </w:r>
    </w:p>
    <w:p>
      <w:pPr>
        <w:adjustRightInd w:val="0"/>
        <w:snapToGrid w:val="0"/>
        <w:spacing w:line="560" w:lineRule="exact"/>
        <w:ind w:firstLine="640" w:firstLineChars="200"/>
        <w:rPr>
          <w:rFonts w:ascii="仿宋" w:hAnsi="仿宋" w:eastAsia="仿宋" w:cs="Arial"/>
          <w:sz w:val="32"/>
          <w:szCs w:val="32"/>
        </w:rPr>
      </w:pPr>
      <w:r>
        <w:rPr>
          <w:rFonts w:hint="eastAsia" w:ascii="仿宋" w:hAnsi="仿宋" w:eastAsia="仿宋" w:cs="Arial"/>
          <w:sz w:val="32"/>
          <w:szCs w:val="32"/>
        </w:rPr>
        <w:t>该项目性质为延续项目。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仿宋"/>
          <w:sz w:val="32"/>
          <w:szCs w:val="32"/>
          <w:lang w:eastAsia="zh-CN"/>
        </w:rPr>
        <w:t>本项目</w:t>
      </w:r>
      <w:r>
        <w:rPr>
          <w:rFonts w:hint="eastAsia" w:ascii="仿宋" w:hAnsi="仿宋" w:eastAsia="仿宋" w:cs="仿宋"/>
          <w:sz w:val="32"/>
          <w:szCs w:val="32"/>
        </w:rPr>
        <w:t>资金主要用于2018年乡镇干部基层补贴经费，乡镇机关、社区干部绩效考核奖励经费，村干部报酬资金，“三老”人员补助经费，“三支”队伍补助经费，村干部及“十户长”工奖励经费，村级组织薄弱村经费，乡镇、街道综合治理及宗教工作经费。2018年基层组织建设资金共1560.53万元，</w:t>
      </w:r>
      <w:r>
        <w:rPr>
          <w:rFonts w:hint="eastAsia" w:ascii="仿宋" w:hAnsi="仿宋" w:eastAsia="仿宋" w:cs="Arial"/>
          <w:sz w:val="32"/>
          <w:szCs w:val="32"/>
        </w:rPr>
        <w:t>所涉及的范围包括12个乡镇45个村4323人。</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ascii="仿宋" w:hAnsi="仿宋" w:eastAsia="仿宋"/>
          <w:color w:val="FF0000"/>
          <w:sz w:val="32"/>
          <w:szCs w:val="32"/>
        </w:rPr>
        <w:t xml:space="preserve"> </w:t>
      </w:r>
      <w:r>
        <w:rPr>
          <w:rFonts w:hint="eastAsia" w:ascii="仿宋" w:hAnsi="仿宋" w:eastAsia="仿宋" w:cs="仿宋"/>
          <w:sz w:val="32"/>
          <w:szCs w:val="32"/>
        </w:rPr>
        <w:t>2018年基层组织建设资金</w:t>
      </w:r>
      <w:r>
        <w:rPr>
          <w:rFonts w:hint="eastAsia" w:ascii="仿宋" w:hAnsi="仿宋" w:eastAsia="仿宋" w:cs="Arial"/>
          <w:sz w:val="32"/>
          <w:szCs w:val="32"/>
        </w:rPr>
        <w:t>项目</w:t>
      </w:r>
      <w:r>
        <w:rPr>
          <w:rFonts w:hint="eastAsia" w:ascii="仿宋" w:hAnsi="仿宋" w:eastAsia="仿宋"/>
          <w:bCs/>
          <w:spacing w:val="-4"/>
          <w:sz w:val="32"/>
          <w:szCs w:val="32"/>
        </w:rPr>
        <w:t>预算安排总额为1560.53万元，其中财政资金1326.29元，自筹资金234.24万元，2018年实际收到预算资金1560.53万元。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 w:hAnsi="仿宋" w:eastAsia="仿宋" w:cs="Arial"/>
          <w:color w:val="000000" w:themeColor="text1"/>
          <w:sz w:val="32"/>
          <w:szCs w:val="32"/>
        </w:rPr>
        <w:t>本项目实际支付资</w:t>
      </w:r>
      <w:r>
        <w:rPr>
          <w:rFonts w:hint="eastAsia" w:ascii="仿宋" w:hAnsi="仿宋" w:eastAsia="仿宋" w:cs="Arial"/>
          <w:sz w:val="32"/>
          <w:szCs w:val="32"/>
        </w:rPr>
        <w:t>1560.53万元，预算执行率100%。项目资金</w:t>
      </w:r>
      <w:r>
        <w:rPr>
          <w:rFonts w:hint="eastAsia" w:ascii="仿宋" w:hAnsi="仿宋" w:eastAsia="仿宋" w:cs="仿宋"/>
          <w:sz w:val="32"/>
          <w:szCs w:val="32"/>
        </w:rPr>
        <w:t>主要用于2018年乡镇干部基层补贴经费，乡镇机关、社区干部绩效考核奖励经费，村干部报酬资金，“三老”人员补助经费，“三支”队伍补助经费，村干部及“十户长”工奖励经费，村级组织薄弱村经费，乡镇、街道综合治理及宗教工作经费</w:t>
      </w:r>
      <w:r>
        <w:rPr>
          <w:rFonts w:hint="eastAsia" w:ascii="仿宋" w:hAnsi="仿宋" w:eastAsia="仿宋" w:cs="仿宋"/>
          <w:sz w:val="32"/>
          <w:szCs w:val="32"/>
          <w:lang w:eastAsia="zh-CN"/>
        </w:rPr>
        <w:t>；</w:t>
      </w:r>
      <w:r>
        <w:rPr>
          <w:rFonts w:hint="eastAsia" w:ascii="仿宋" w:hAnsi="仿宋" w:eastAsia="仿宋" w:cs="Arial"/>
          <w:sz w:val="32"/>
          <w:szCs w:val="32"/>
        </w:rPr>
        <w:t>支出1560.53万</w:t>
      </w:r>
      <w:r>
        <w:rPr>
          <w:rFonts w:hint="eastAsia" w:ascii="仿宋" w:hAnsi="仿宋" w:eastAsia="仿宋" w:cs="Arial"/>
          <w:color w:val="000000" w:themeColor="text1"/>
          <w:sz w:val="32"/>
          <w:szCs w:val="32"/>
        </w:rPr>
        <w:t>元</w:t>
      </w:r>
      <w:r>
        <w:rPr>
          <w:rFonts w:hint="eastAsia" w:ascii="仿宋" w:hAnsi="仿宋" w:eastAsia="仿宋" w:cs="Arial"/>
          <w:color w:val="000000" w:themeColor="text1"/>
          <w:sz w:val="32"/>
          <w:szCs w:val="32"/>
          <w:lang w:eastAsia="zh-CN"/>
        </w:rPr>
        <w:t>，</w:t>
      </w:r>
      <w:r>
        <w:rPr>
          <w:rFonts w:hint="eastAsia" w:ascii="仿宋" w:hAnsi="仿宋" w:eastAsia="仿宋" w:cs="Arial"/>
          <w:color w:val="000000" w:themeColor="text1"/>
          <w:sz w:val="32"/>
          <w:szCs w:val="32"/>
        </w:rPr>
        <w:t>没有用于其他支出。</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Style w:val="18"/>
          <w:rFonts w:ascii="仿宋" w:hAnsi="仿宋" w:eastAsia="仿宋" w:cs="仿宋"/>
          <w:b w:val="0"/>
          <w:spacing w:val="-4"/>
          <w:sz w:val="32"/>
          <w:szCs w:val="32"/>
        </w:rPr>
      </w:pPr>
      <w:r>
        <w:rPr>
          <w:rFonts w:hint="eastAsia" w:ascii="仿宋" w:hAnsi="仿宋" w:eastAsia="仿宋" w:cs="仿宋"/>
          <w:bCs/>
          <w:sz w:val="32"/>
          <w:szCs w:val="32"/>
        </w:rPr>
        <w:t>2018年基层组织建设各类补助</w:t>
      </w:r>
      <w:r>
        <w:rPr>
          <w:rFonts w:hint="eastAsia" w:ascii="仿宋" w:hAnsi="仿宋" w:eastAsia="仿宋" w:cs="仿宋"/>
          <w:sz w:val="32"/>
          <w:szCs w:val="32"/>
        </w:rPr>
        <w:t>经费总额</w:t>
      </w:r>
      <w:r>
        <w:rPr>
          <w:rFonts w:hint="eastAsia" w:ascii="仿宋" w:hAnsi="仿宋" w:eastAsia="仿宋" w:cs="仿宋"/>
          <w:bCs/>
          <w:sz w:val="32"/>
          <w:szCs w:val="32"/>
        </w:rPr>
        <w:t>2016.63万元。其中自治区财政专项补助1326.29万元（其中，乡镇干部基层补贴经费247万元，乡镇机关、社区干部绩效考</w:t>
      </w:r>
      <w:r>
        <w:rPr>
          <w:rFonts w:hint="eastAsia" w:ascii="仿宋" w:hAnsi="仿宋" w:eastAsia="仿宋" w:cs="仿宋"/>
          <w:sz w:val="32"/>
          <w:szCs w:val="32"/>
        </w:rPr>
        <w:t>核奖励经费57.96万元，村干部报酬资金194.41万元，“三老”人员补助经费205.42万元，“三支”队伍补助经费118万元，村干部及“十户长”工奖励经费61万元，村级组织薄弱村经费382.5万元，乡镇、街道综合治理及宗教工作经费60万元；</w:t>
      </w:r>
      <w:r>
        <w:rPr>
          <w:rFonts w:hint="eastAsia" w:ascii="仿宋" w:hAnsi="仿宋" w:eastAsia="仿宋" w:cs="仿宋"/>
          <w:bCs/>
          <w:sz w:val="32"/>
          <w:szCs w:val="32"/>
        </w:rPr>
        <w:t>县财政补助资金234.24万元</w:t>
      </w:r>
      <w:r>
        <w:rPr>
          <w:rFonts w:hint="eastAsia" w:ascii="仿宋" w:hAnsi="仿宋" w:eastAsia="仿宋" w:cs="仿宋"/>
          <w:sz w:val="32"/>
          <w:szCs w:val="32"/>
        </w:rPr>
        <w:t>。</w:t>
      </w:r>
      <w:r>
        <w:rPr>
          <w:rFonts w:hint="eastAsia" w:ascii="仿宋" w:hAnsi="仿宋" w:eastAsia="仿宋" w:cs="仿宋"/>
          <w:bCs/>
          <w:spacing w:val="-4"/>
          <w:sz w:val="32"/>
          <w:szCs w:val="32"/>
        </w:rPr>
        <w:t>2018年实际收到预算资金1560.53万元。</w:t>
      </w:r>
    </w:p>
    <w:p>
      <w:pPr>
        <w:spacing w:line="480" w:lineRule="atLeast"/>
        <w:ind w:firstLine="470" w:firstLineChars="147"/>
        <w:jc w:val="left"/>
        <w:rPr>
          <w:rFonts w:ascii="仿宋" w:hAnsi="仿宋" w:eastAsia="仿宋" w:cs="Arial"/>
          <w:color w:val="000000" w:themeColor="text1"/>
          <w:sz w:val="32"/>
          <w:szCs w:val="32"/>
        </w:rPr>
      </w:pPr>
      <w:r>
        <w:rPr>
          <w:rFonts w:hint="eastAsia" w:ascii="仿宋" w:hAnsi="仿宋" w:eastAsia="仿宋" w:cs="Arial"/>
          <w:sz w:val="32"/>
          <w:szCs w:val="32"/>
        </w:rPr>
        <w:t>项目支出符合地区关于这项资金用途的要求，下拨资金全部用于我县各乡镇场各项补助的发放，</w:t>
      </w:r>
      <w:r>
        <w:rPr>
          <w:rFonts w:hint="eastAsia" w:ascii="仿宋" w:hAnsi="仿宋" w:eastAsia="仿宋" w:cs="Arial"/>
          <w:color w:val="000000" w:themeColor="text1"/>
          <w:sz w:val="32"/>
          <w:szCs w:val="32"/>
        </w:rPr>
        <w:t>资金的拨付有完整的审批程序和手续，自地区下拨该项资金以后，由县委组织部财务人员按照发放标准和需发放人数直接发放给受益人群，此过程不存在截留、挤占、挪用等情况。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cs="Arial"/>
          <w:bCs/>
          <w:color w:val="000000" w:themeColor="text1"/>
        </w:rPr>
      </w:pPr>
      <w:r>
        <w:rPr>
          <w:rFonts w:hint="eastAsia" w:ascii="仿宋" w:hAnsi="仿宋" w:eastAsia="仿宋" w:cs="Arial"/>
          <w:color w:val="000000" w:themeColor="text1"/>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对该项目资金的管理及发放方式，是由我县发放实际及与各相关单位共同商议的结果，即由县委组织部发放到各乡镇，再由各乡镇负责最终的发放，最后由县委组织部对发放结果进行调查，以确保该项资金的足额发放。</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42</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42</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eastAsia="zh-CN"/>
        </w:rPr>
      </w:pPr>
      <w:r>
        <w:rPr>
          <w:rStyle w:val="18"/>
          <w:rFonts w:hint="eastAsia" w:ascii="仿宋" w:hAnsi="仿宋" w:eastAsia="仿宋"/>
          <w:b w:val="0"/>
          <w:color w:val="000000" w:themeColor="text1"/>
          <w:spacing w:val="-4"/>
          <w:sz w:val="32"/>
          <w:szCs w:val="32"/>
        </w:rPr>
        <w:t>经济性：10公里以内乡镇（塔什库尔干镇、塔什库尔干乡、提孜那甫乡）正科400元/月/人，副科200元/月/人，100元/月/人科员；10-30公里以内乡镇（塔吉克阿巴提镇、班迪尔乡）正科500元/月/人，副科300元/月/人，科员200元/月/人；31-100公里以内乡镇(库科西力克乡、瓦恰乡、达布达尔乡、塔合曼乡、科克亚尔乡、麻扎种羊场)正科600元/月/人，副科400元/月/人，科员300元/月/人；100公里以上乡镇(大同乡、马尔洋乡)正科800元/月/人，副科600元/月/人，科员500元/月/人。</w:t>
      </w:r>
      <w:r>
        <w:rPr>
          <w:rStyle w:val="18"/>
          <w:rFonts w:hint="eastAsia" w:ascii="仿宋" w:hAnsi="仿宋" w:eastAsia="仿宋"/>
          <w:b w:val="0"/>
          <w:color w:val="000000" w:themeColor="text1"/>
          <w:spacing w:val="-4"/>
          <w:sz w:val="32"/>
          <w:szCs w:val="32"/>
          <w:lang w:eastAsia="zh-CN"/>
        </w:rPr>
        <w:t>按标准足额发放</w:t>
      </w:r>
      <w:r>
        <w:rPr>
          <w:rStyle w:val="18"/>
          <w:rFonts w:hint="eastAsia" w:ascii="仿宋" w:hAnsi="仿宋" w:eastAsia="仿宋"/>
          <w:b w:val="0"/>
          <w:color w:val="000000" w:themeColor="text1"/>
          <w:spacing w:val="-4"/>
          <w:sz w:val="32"/>
          <w:szCs w:val="32"/>
        </w:rPr>
        <w:t>乡镇干部基层补贴</w:t>
      </w:r>
      <w:r>
        <w:rPr>
          <w:rStyle w:val="18"/>
          <w:rFonts w:hint="eastAsia" w:ascii="仿宋" w:hAnsi="仿宋" w:eastAsia="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eastAsia="zh-CN"/>
        </w:rPr>
      </w:pPr>
      <w:r>
        <w:rPr>
          <w:rStyle w:val="18"/>
          <w:rFonts w:hint="eastAsia" w:ascii="仿宋" w:hAnsi="仿宋" w:eastAsia="仿宋"/>
          <w:b w:val="0"/>
          <w:color w:val="000000" w:themeColor="text1"/>
          <w:spacing w:val="-4"/>
          <w:sz w:val="32"/>
          <w:szCs w:val="32"/>
        </w:rPr>
        <w:t>效率性：乡镇干部基层补贴按月按照在岗在位情况足额发放</w:t>
      </w:r>
      <w:r>
        <w:rPr>
          <w:rStyle w:val="18"/>
          <w:rFonts w:hint="eastAsia" w:ascii="仿宋" w:hAnsi="仿宋" w:eastAsia="仿宋"/>
          <w:b w:val="0"/>
          <w:color w:val="000000" w:themeColor="text1"/>
          <w:spacing w:val="-4"/>
          <w:sz w:val="32"/>
          <w:szCs w:val="32"/>
          <w:lang w:eastAsia="zh-CN"/>
        </w:rPr>
        <w:t>，村（社区）干部工资按月按照在岗在位情况足额发放，“三支队伍”补助按季度按照在岗在位情况足额发放。</w:t>
      </w:r>
    </w:p>
    <w:p>
      <w:pPr>
        <w:adjustRightInd w:val="0"/>
        <w:snapToGrid w:val="0"/>
        <w:spacing w:line="560" w:lineRule="exact"/>
        <w:ind w:firstLine="624" w:firstLineChars="200"/>
        <w:rPr>
          <w:rFonts w:ascii="仿宋" w:hAnsi="仿宋" w:eastAsia="仿宋"/>
          <w:bCs/>
          <w:color w:val="FF0000"/>
          <w:spacing w:val="-4"/>
          <w:sz w:val="32"/>
          <w:szCs w:val="32"/>
        </w:rPr>
      </w:pPr>
      <w:r>
        <w:rPr>
          <w:rStyle w:val="18"/>
          <w:rFonts w:hint="eastAsia" w:ascii="仿宋" w:hAnsi="仿宋" w:eastAsia="仿宋"/>
          <w:b w:val="0"/>
          <w:color w:val="000000" w:themeColor="text1"/>
          <w:spacing w:val="-4"/>
          <w:sz w:val="32"/>
          <w:szCs w:val="32"/>
        </w:rPr>
        <w:t>效益性：乡镇基层组织建设经费保障覆盖率</w:t>
      </w:r>
      <w:r>
        <w:rPr>
          <w:rStyle w:val="18"/>
          <w:rFonts w:hint="eastAsia" w:ascii="仿宋" w:hAnsi="仿宋" w:eastAsia="仿宋"/>
          <w:b w:val="0"/>
          <w:color w:val="000000" w:themeColor="text1"/>
          <w:spacing w:val="-4"/>
          <w:sz w:val="32"/>
          <w:szCs w:val="32"/>
          <w:lang w:val="en-US" w:eastAsia="zh-CN"/>
        </w:rPr>
        <w:t>100%，</w:t>
      </w:r>
      <w:bookmarkStart w:id="1" w:name="_GoBack"/>
      <w:bookmarkEnd w:id="1"/>
      <w:r>
        <w:rPr>
          <w:rStyle w:val="18"/>
          <w:rFonts w:hint="eastAsia" w:ascii="仿宋" w:hAnsi="仿宋" w:eastAsia="仿宋"/>
          <w:b w:val="0"/>
          <w:color w:val="000000" w:themeColor="text1"/>
          <w:spacing w:val="-4"/>
          <w:sz w:val="32"/>
          <w:szCs w:val="32"/>
          <w:lang w:val="en-US" w:eastAsia="zh-CN"/>
        </w:rPr>
        <w:t>激发基层干部干事创业、服务群众的热情，充分调动群众参与各项事务、活动的积极性、主动性 。</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74" w:firstLineChars="242"/>
        <w:rPr>
          <w:rFonts w:hint="eastAsia" w:ascii="仿宋" w:hAnsi="仿宋" w:eastAsia="仿宋" w:cs="Arial"/>
          <w:sz w:val="32"/>
          <w:szCs w:val="32"/>
          <w:lang w:eastAsia="zh-CN"/>
        </w:rPr>
      </w:pPr>
      <w:r>
        <w:rPr>
          <w:rFonts w:ascii="仿宋" w:hAnsi="仿宋" w:eastAsia="仿宋" w:cs="Arial"/>
          <w:sz w:val="32"/>
          <w:szCs w:val="32"/>
        </w:rPr>
        <w:t>无</w:t>
      </w:r>
      <w:r>
        <w:rPr>
          <w:rFonts w:hint="eastAsia" w:ascii="仿宋" w:hAnsi="仿宋" w:eastAsia="仿宋" w:cs="Arial"/>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1、主要经验及做法：</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在大额资金的发放过程中，一定要根据本地区的实际，提出适合本地区情况的具体发放措施。</w:t>
      </w:r>
    </w:p>
    <w:p>
      <w:pPr>
        <w:adjustRightInd w:val="0"/>
        <w:snapToGrid w:val="0"/>
        <w:spacing w:line="560" w:lineRule="exact"/>
        <w:ind w:firstLine="640" w:firstLineChars="200"/>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2、存在的问题：</w:t>
      </w:r>
    </w:p>
    <w:p>
      <w:pPr>
        <w:adjustRightInd w:val="0"/>
        <w:snapToGrid w:val="0"/>
        <w:spacing w:line="56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此次资金的发放，由于涉及到的金额大、范围广，如果要全部直接发放给受益人群，不利于操作。</w:t>
      </w:r>
    </w:p>
    <w:p>
      <w:pPr>
        <w:numPr>
          <w:ilvl w:val="0"/>
          <w:numId w:val="1"/>
        </w:numPr>
        <w:spacing w:line="540" w:lineRule="exact"/>
        <w:ind w:firstLine="774" w:firstLineChars="242"/>
        <w:rPr>
          <w:rFonts w:hint="eastAsia" w:ascii="仿宋" w:hAnsi="仿宋" w:eastAsia="仿宋" w:cs="Arial"/>
          <w:color w:val="000000" w:themeColor="text1"/>
          <w:sz w:val="32"/>
          <w:szCs w:val="32"/>
        </w:rPr>
      </w:pPr>
      <w:r>
        <w:rPr>
          <w:rFonts w:hint="eastAsia" w:ascii="仿宋" w:hAnsi="仿宋" w:eastAsia="仿宋" w:cs="Arial"/>
          <w:color w:val="000000" w:themeColor="text1"/>
          <w:sz w:val="32"/>
          <w:szCs w:val="32"/>
        </w:rPr>
        <w:t>建议：</w:t>
      </w:r>
    </w:p>
    <w:p>
      <w:pPr>
        <w:numPr>
          <w:ilvl w:val="0"/>
          <w:numId w:val="0"/>
        </w:numPr>
        <w:spacing w:line="540" w:lineRule="exact"/>
        <w:ind w:firstLine="640" w:firstLineChars="200"/>
        <w:rPr>
          <w:rFonts w:ascii="仿宋" w:hAnsi="仿宋" w:eastAsia="仿宋" w:cs="Arial"/>
          <w:color w:val="000000" w:themeColor="text1"/>
          <w:sz w:val="32"/>
          <w:szCs w:val="32"/>
        </w:rPr>
      </w:pPr>
      <w:r>
        <w:rPr>
          <w:rFonts w:hint="eastAsia" w:ascii="仿宋" w:hAnsi="仿宋" w:eastAsia="仿宋" w:cs="Arial"/>
          <w:color w:val="000000" w:themeColor="text1"/>
          <w:sz w:val="32"/>
          <w:szCs w:val="32"/>
        </w:rPr>
        <w:t>经过各方商议，结合本地区实际，提出了由财政-组织部-乡（镇）府-领取人的具体实施措施，事实证明，这种方法适合我县实际。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 w:hAnsi="仿宋" w:eastAsia="仿宋"/>
          <w:color w:val="FF0000"/>
          <w:spacing w:val="-4"/>
          <w:sz w:val="32"/>
          <w:szCs w:val="32"/>
        </w:rPr>
      </w:pPr>
      <w:r>
        <w:rPr>
          <w:rFonts w:hint="eastAsia" w:ascii="仿宋" w:hAnsi="仿宋" w:eastAsia="仿宋" w:cs="Arial"/>
          <w:color w:val="000000" w:themeColor="text1"/>
          <w:sz w:val="32"/>
          <w:szCs w:val="32"/>
          <w:lang w:eastAsia="zh-CN"/>
        </w:rPr>
        <w:t>本项目</w:t>
      </w:r>
      <w:r>
        <w:rPr>
          <w:rFonts w:hint="eastAsia" w:ascii="仿宋" w:hAnsi="仿宋" w:eastAsia="仿宋" w:cs="Arial"/>
          <w:color w:val="000000" w:themeColor="text1"/>
          <w:sz w:val="32"/>
          <w:szCs w:val="32"/>
        </w:rPr>
        <w:t>资金发放，采取的方法</w:t>
      </w:r>
      <w:r>
        <w:rPr>
          <w:rFonts w:hint="eastAsia" w:ascii="仿宋" w:hAnsi="仿宋" w:eastAsia="仿宋" w:cs="Arial"/>
          <w:color w:val="000000" w:themeColor="text1"/>
          <w:sz w:val="32"/>
          <w:szCs w:val="32"/>
          <w:lang w:eastAsia="zh-CN"/>
        </w:rPr>
        <w:t>规范</w:t>
      </w:r>
      <w:r>
        <w:rPr>
          <w:rFonts w:hint="eastAsia" w:ascii="仿宋" w:hAnsi="仿宋" w:eastAsia="仿宋" w:cs="Arial"/>
          <w:color w:val="000000" w:themeColor="text1"/>
          <w:sz w:val="32"/>
          <w:szCs w:val="32"/>
        </w:rPr>
        <w:t>，根据发放后不定期的调查，证明，各受益人对此次资金发放的方式和效率均表示满意。</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FF0000"/>
          <w:spacing w:val="-4"/>
          <w:sz w:val="32"/>
          <w:szCs w:val="32"/>
        </w:rPr>
      </w:pPr>
    </w:p>
    <w:p>
      <w:pPr>
        <w:adjustRightInd w:val="0"/>
        <w:snapToGrid w:val="0"/>
        <w:spacing w:line="560" w:lineRule="exact"/>
        <w:rPr>
          <w:rStyle w:val="18"/>
          <w:rFonts w:ascii="仿宋" w:hAnsi="仿宋" w:eastAsia="仿宋"/>
          <w:color w:val="FF0000"/>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44A5D"/>
    <w:multiLevelType w:val="singleLevel"/>
    <w:tmpl w:val="12E44A5D"/>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D12C6"/>
    <w:rsid w:val="0012208E"/>
    <w:rsid w:val="00135256"/>
    <w:rsid w:val="001A4E1F"/>
    <w:rsid w:val="001A57B9"/>
    <w:rsid w:val="001C3847"/>
    <w:rsid w:val="001F3031"/>
    <w:rsid w:val="00210A26"/>
    <w:rsid w:val="002A2532"/>
    <w:rsid w:val="002A2D76"/>
    <w:rsid w:val="0031134A"/>
    <w:rsid w:val="00365250"/>
    <w:rsid w:val="0036624C"/>
    <w:rsid w:val="00385849"/>
    <w:rsid w:val="003D7A9B"/>
    <w:rsid w:val="003F1A98"/>
    <w:rsid w:val="004B2869"/>
    <w:rsid w:val="0050167F"/>
    <w:rsid w:val="00514506"/>
    <w:rsid w:val="005162F1"/>
    <w:rsid w:val="00516E80"/>
    <w:rsid w:val="00535153"/>
    <w:rsid w:val="00541C7A"/>
    <w:rsid w:val="00575CFE"/>
    <w:rsid w:val="00583AFC"/>
    <w:rsid w:val="00592D09"/>
    <w:rsid w:val="005D519D"/>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065F4"/>
    <w:rsid w:val="00922CB9"/>
    <w:rsid w:val="009350F7"/>
    <w:rsid w:val="009B526F"/>
    <w:rsid w:val="009C1AFD"/>
    <w:rsid w:val="009D4BFB"/>
    <w:rsid w:val="00A26421"/>
    <w:rsid w:val="00A4293B"/>
    <w:rsid w:val="00A83BD5"/>
    <w:rsid w:val="00A977DF"/>
    <w:rsid w:val="00AA7299"/>
    <w:rsid w:val="00AE6A23"/>
    <w:rsid w:val="00B06CA5"/>
    <w:rsid w:val="00B13FCF"/>
    <w:rsid w:val="00B41F61"/>
    <w:rsid w:val="00B464C5"/>
    <w:rsid w:val="00B55332"/>
    <w:rsid w:val="00B86E8C"/>
    <w:rsid w:val="00BE1A00"/>
    <w:rsid w:val="00C11AE7"/>
    <w:rsid w:val="00C22CF0"/>
    <w:rsid w:val="00C56C72"/>
    <w:rsid w:val="00CA6457"/>
    <w:rsid w:val="00CC4442"/>
    <w:rsid w:val="00CC6E4D"/>
    <w:rsid w:val="00D00254"/>
    <w:rsid w:val="00D13A8F"/>
    <w:rsid w:val="00D17F2E"/>
    <w:rsid w:val="00D46194"/>
    <w:rsid w:val="00E01293"/>
    <w:rsid w:val="00E027D1"/>
    <w:rsid w:val="00E769FE"/>
    <w:rsid w:val="00EA2CBE"/>
    <w:rsid w:val="00EF3FFA"/>
    <w:rsid w:val="00F32FEE"/>
    <w:rsid w:val="00F53E69"/>
    <w:rsid w:val="00FB1660"/>
    <w:rsid w:val="081A7434"/>
    <w:rsid w:val="08753BC3"/>
    <w:rsid w:val="0AB56CE2"/>
    <w:rsid w:val="0EB107EC"/>
    <w:rsid w:val="21454B50"/>
    <w:rsid w:val="242D11E4"/>
    <w:rsid w:val="275833BE"/>
    <w:rsid w:val="38DB4424"/>
    <w:rsid w:val="397F4FE8"/>
    <w:rsid w:val="39B8151B"/>
    <w:rsid w:val="4EFD6A38"/>
    <w:rsid w:val="5A7F02EA"/>
    <w:rsid w:val="5B531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7"/>
    <w:qFormat/>
    <w:uiPriority w:val="0"/>
    <w:rPr>
      <w:rFonts w:hint="default" w:ascii="Times New Roman" w:hAnsi="Times New Roman" w:cs="Times New Roman"/>
      <w:color w:val="000000"/>
      <w:sz w:val="24"/>
      <w:szCs w:val="24"/>
      <w:u w:val="none"/>
    </w:rPr>
  </w:style>
  <w:style w:type="character" w:customStyle="1" w:styleId="50">
    <w:name w:val="font01"/>
    <w:basedOn w:val="17"/>
    <w:qFormat/>
    <w:uiPriority w:val="0"/>
    <w:rPr>
      <w:rFonts w:hint="eastAsia" w:ascii="宋体" w:hAnsi="宋体" w:eastAsia="宋体" w:cs="宋体"/>
      <w:color w:val="000000"/>
      <w:sz w:val="24"/>
      <w:szCs w:val="24"/>
      <w:u w:val="none"/>
    </w:rPr>
  </w:style>
  <w:style w:type="character" w:customStyle="1" w:styleId="51">
    <w:name w:val="font11"/>
    <w:basedOn w:val="17"/>
    <w:qFormat/>
    <w:uiPriority w:val="0"/>
    <w:rPr>
      <w:rFonts w:hint="eastAsia" w:ascii="宋体" w:hAnsi="宋体" w:eastAsia="宋体" w:cs="宋体"/>
      <w:color w:val="000000"/>
      <w:sz w:val="16"/>
      <w:szCs w:val="16"/>
      <w:u w:val="none"/>
    </w:rPr>
  </w:style>
  <w:style w:type="paragraph" w:styleId="5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53DF6E-3F2C-4F23-AE3A-2F8EB2E88964}">
  <ds:schemaRefs/>
</ds:datastoreItem>
</file>

<file path=docProps/app.xml><?xml version="1.0" encoding="utf-8"?>
<Properties xmlns="http://schemas.openxmlformats.org/officeDocument/2006/extended-properties" xmlns:vt="http://schemas.openxmlformats.org/officeDocument/2006/docPropsVTypes">
  <Template>Normal</Template>
  <Pages>5</Pages>
  <Words>302</Words>
  <Characters>1723</Characters>
  <Lines>14</Lines>
  <Paragraphs>4</Paragraphs>
  <TotalTime>8</TotalTime>
  <ScaleCrop>false</ScaleCrop>
  <LinksUpToDate>false</LinksUpToDate>
  <CharactersWithSpaces>2021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2019-09-22T05:27:27Z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